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4F002"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Қазақстан Реcпубликасының</w:t>
      </w:r>
    </w:p>
    <w:p w14:paraId="24586B06"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Қаржы министрі</w:t>
      </w:r>
    </w:p>
    <w:p w14:paraId="6F0E870A"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2025 жылғы 17 желтоқсандағы</w:t>
      </w:r>
    </w:p>
    <w:p w14:paraId="1B5F7DE0"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 782 бұйрығына</w:t>
      </w:r>
    </w:p>
    <w:p w14:paraId="325F1D0C" w14:textId="05EA223D" w:rsid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қосымша</w:t>
      </w:r>
      <w:r w:rsidRPr="00F63C56">
        <w:rPr>
          <w:rFonts w:ascii="Times New Roman" w:eastAsia="Times New Roman" w:hAnsi="Times New Roman" w:cs="Times New Roman"/>
          <w:color w:val="000000"/>
          <w:sz w:val="24"/>
          <w:szCs w:val="24"/>
          <w:lang w:eastAsia="ru-RU"/>
        </w:rPr>
        <w:t xml:space="preserve"> </w:t>
      </w:r>
    </w:p>
    <w:p w14:paraId="02303F94" w14:textId="77777777" w:rsid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p>
    <w:p w14:paraId="1B7AD305" w14:textId="4BD7D6FA"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«Орындалған жұмыстардан және</w:t>
      </w:r>
    </w:p>
    <w:p w14:paraId="51FE248E"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(немесе) көрсетілген қызметтерден</w:t>
      </w:r>
    </w:p>
    <w:p w14:paraId="1DCD4F34"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түсетін кірістер бойынша халықаралық</w:t>
      </w:r>
    </w:p>
    <w:p w14:paraId="68643BC7"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іскерлік операциялар»</w:t>
      </w:r>
    </w:p>
    <w:p w14:paraId="685642D8" w14:textId="77777777" w:rsidR="00F63C56" w:rsidRPr="00F63C56" w:rsidRDefault="00F63C56" w:rsidP="00F63C56">
      <w:pPr>
        <w:spacing w:after="0"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септілік нысанына</w:t>
      </w:r>
    </w:p>
    <w:p w14:paraId="504F347B" w14:textId="77777777" w:rsidR="00F63C56" w:rsidRPr="00F63C56" w:rsidRDefault="00F63C56" w:rsidP="00F63C56">
      <w:pPr>
        <w:spacing w:line="240" w:lineRule="auto"/>
        <w:jc w:val="right"/>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қосымша</w:t>
      </w:r>
    </w:p>
    <w:p w14:paraId="099D2EA0" w14:textId="77777777" w:rsidR="00F63C56" w:rsidRPr="00F63C56" w:rsidRDefault="00F63C56" w:rsidP="00F63C56">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F63C56">
        <w:rPr>
          <w:rFonts w:ascii="Times New Roman" w:eastAsia="Times New Roman" w:hAnsi="Times New Roman" w:cs="Times New Roman"/>
          <w:b/>
          <w:bCs/>
          <w:color w:val="000000"/>
          <w:sz w:val="24"/>
          <w:szCs w:val="24"/>
          <w:lang w:eastAsia="ru-RU"/>
        </w:rPr>
        <w:t>«Орындалған жұмыстардан және (немесе) көрсетілген қызметтерден түсетін кірістер бойынша халықаралық іскерлік операциялар» есептілік нысанын толтыру бойынша түсіндірме</w:t>
      </w:r>
    </w:p>
    <w:bookmarkEnd w:id="0"/>
    <w:p w14:paraId="6E125EBA" w14:textId="77777777" w:rsidR="00F63C56" w:rsidRPr="00F63C56" w:rsidRDefault="00F63C56" w:rsidP="00F63C56">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«Орындалған жұмыстардан және (немесе) көрсетілген қызметтерден түсетін кірістер бойынша халықаралық іскерлік операциялар» есептілік нысаны мынадай түрде толтырылады:</w:t>
      </w:r>
    </w:p>
    <w:p w14:paraId="51C90506"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 «№» деген 1-бағанда реттік нөмірі көрсетіледі (өтпелі нөмірлеу);</w:t>
      </w:r>
    </w:p>
    <w:p w14:paraId="27D28FF9"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 «БСН» деген 2-бағанда орындаушы - заңды тұлғаның бизнес-сәйкестендіру нөмірі көрсетіледі;</w:t>
      </w:r>
    </w:p>
    <w:p w14:paraId="53EA004C"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3) «Орындаушының атауы» деген 3-бағанда заңды тұлғаның (орындаушының) ұйымдық-құқықтық нысанын көрсете отырып, толық атауы көрсетіледі;</w:t>
      </w:r>
    </w:p>
    <w:p w14:paraId="531A5054"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4) «Салық кезеңі» деген 4-бағанда мәмілелер мониторингі бойынша есептілік табыс етілетін кезең көрсетіледі;</w:t>
      </w:r>
    </w:p>
    <w:p w14:paraId="338895DC"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5) «Жұмыс/қызмет атауы» деген 5-бағанда орындалған жұмыстың және (немесе) көрсетілген қызметтің атауы көрсетіледі;</w:t>
      </w:r>
    </w:p>
    <w:p w14:paraId="19E9EF9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6) «ЭҚЖЖ коды» деген 6-бағанда орындалған жұмыстардың және (немесе) көрсетілген қызметтердің экономикалық қызмет түрлерінің жалпы жіктеуіші (ЭҚЖЖ) көрсетіледі. ЭҚЖЖ кодтары Қазақстан Республикасы Стратегиялық жоспарлау және реформалар агенттігінің Ұлттық статистика бюросының ресми сайтында «Статистикалық жіктеуіштер» бөлімінде жарияланады (мысалы, көлік-экспедиторлық қызметтер үшін ЭҚЖЖ «52.29» коды қолданылады);</w:t>
      </w:r>
    </w:p>
    <w:p w14:paraId="3E9A39F2"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7) «Жұмысты орындау/қызмет көрсету елі» деген 7-бағанда жұмыс орындалатын және (немесе) қызмет көрсетілетін ел көрсетіледі;</w:t>
      </w:r>
    </w:p>
    <w:p w14:paraId="3DADBF92"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8) «Жұмысты орындау/қызмет көрсету күні» деген 8-бағанда жұмысты орындау және (немесе) қызмет көрсету күні «</w:t>
      </w:r>
      <w:proofErr w:type="gramStart"/>
      <w:r w:rsidRPr="00F63C56">
        <w:rPr>
          <w:rFonts w:ascii="Times New Roman" w:eastAsia="Times New Roman" w:hAnsi="Times New Roman" w:cs="Times New Roman"/>
          <w:color w:val="000000"/>
          <w:sz w:val="24"/>
          <w:szCs w:val="24"/>
          <w:lang w:eastAsia="ru-RU"/>
        </w:rPr>
        <w:t>күні,айы</w:t>
      </w:r>
      <w:proofErr w:type="gramEnd"/>
      <w:r w:rsidRPr="00F63C56">
        <w:rPr>
          <w:rFonts w:ascii="Times New Roman" w:eastAsia="Times New Roman" w:hAnsi="Times New Roman" w:cs="Times New Roman"/>
          <w:color w:val="000000"/>
          <w:sz w:val="24"/>
          <w:szCs w:val="24"/>
          <w:lang w:eastAsia="ru-RU"/>
        </w:rPr>
        <w:t>,жылы» форматында көрсетіледі;</w:t>
      </w:r>
    </w:p>
    <w:p w14:paraId="4D9B28E4"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9) «Бейрезидент-тапсырыс берушінің атауы» деген 9-бағанда жұмыстың және (немесе) қызметтің бейрезидент-тапсырыс берушінің атауы көрсетіледі;</w:t>
      </w:r>
    </w:p>
    <w:p w14:paraId="547C9F66"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10) «Бейрезидент-тапсырыс берушінің заңды мекенжайы» деген 10-бағанда жұмыстың және (немесе) қызметтің бейрезидент-тапсырыс берушінің заңды мекенжайы көрсетіледі;</w:t>
      </w:r>
    </w:p>
    <w:p w14:paraId="4BFBED76"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11) «Бейрезидент-тапсырыс берушінің тіркелген елі» деген 11-бағанда бейрезидент-тапсырыс берушінің тіркелген елі көрсетіледі;</w:t>
      </w:r>
    </w:p>
    <w:p w14:paraId="1AD1A6C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12) «Бейрезидент-тапсырыс берушінің сауда жасаушы елінің коды» деген 12-бағанда «Кедендік декларацияны толтыру үшін пайдаланылатын жіктеуіштер туралы» Кеден одағы Комиссиясының 2010 жылғы 20 қыркүйектегі № 378 шешімімен бекітілген Әлем елдерінің жіктеуішіне сәйкес бейрезидент-тапсырыс берушінің сауда жасайтын елінің цифрлық коды көрсетіледі (мәмілеге қатысушы келісімшарт жасасқан тұлға тіркелген немесе тұрақты тұратын ел сауда жасаушы ел деп түсініледі);</w:t>
      </w:r>
    </w:p>
    <w:p w14:paraId="77F8E5A1"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lastRenderedPageBreak/>
        <w:t>13) «Тараптардың өзара байланысы туралы ақпарат (иә/жоқ)» деген 13-бағанда тараптардың (орындаушы және тапсырыс беруші) өзара байланысы туралы ақпарат «иә» немесе «жоқ» форматында көрсетіледі;</w:t>
      </w:r>
    </w:p>
    <w:p w14:paraId="228E458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14) «Келісімшарттың (шарттың) №» деген 14-бағанда келісімшарттың (шарттың) нөмірі көрсетіледі;</w:t>
      </w:r>
    </w:p>
    <w:p w14:paraId="470F1A00"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15) «Келісімшарттың (шарттың) күні» деген 15-бағанда келісімшарттың (шарттың) күні «</w:t>
      </w:r>
      <w:proofErr w:type="gramStart"/>
      <w:r w:rsidRPr="00F63C56">
        <w:rPr>
          <w:rFonts w:ascii="Times New Roman" w:eastAsia="Times New Roman" w:hAnsi="Times New Roman" w:cs="Times New Roman"/>
          <w:color w:val="000000"/>
          <w:sz w:val="24"/>
          <w:szCs w:val="24"/>
          <w:lang w:eastAsia="ru-RU"/>
        </w:rPr>
        <w:t>күні,айы</w:t>
      </w:r>
      <w:proofErr w:type="gramEnd"/>
      <w:r w:rsidRPr="00F63C56">
        <w:rPr>
          <w:rFonts w:ascii="Times New Roman" w:eastAsia="Times New Roman" w:hAnsi="Times New Roman" w:cs="Times New Roman"/>
          <w:color w:val="000000"/>
          <w:sz w:val="24"/>
          <w:szCs w:val="24"/>
          <w:lang w:eastAsia="ru-RU"/>
        </w:rPr>
        <w:t>,жылы» форматында көрсетіледі;</w:t>
      </w:r>
    </w:p>
    <w:p w14:paraId="29653B6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16) «Электрондық шот-фактураның №» деген 16-бағанда электрондық шот-фактураның тіркеу нөмірі көрсетіледі;</w:t>
      </w:r>
    </w:p>
    <w:p w14:paraId="2BA5C51A"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17) «Электрондық шот-фактураның күні» деген 17-бағанда электрондық шот-фактураның күні «</w:t>
      </w:r>
      <w:proofErr w:type="gramStart"/>
      <w:r w:rsidRPr="00F63C56">
        <w:rPr>
          <w:rFonts w:ascii="Times New Roman" w:eastAsia="Times New Roman" w:hAnsi="Times New Roman" w:cs="Times New Roman"/>
          <w:color w:val="000000"/>
          <w:sz w:val="24"/>
          <w:szCs w:val="24"/>
          <w:lang w:eastAsia="ru-RU"/>
        </w:rPr>
        <w:t>күні,айы</w:t>
      </w:r>
      <w:proofErr w:type="gramEnd"/>
      <w:r w:rsidRPr="00F63C56">
        <w:rPr>
          <w:rFonts w:ascii="Times New Roman" w:eastAsia="Times New Roman" w:hAnsi="Times New Roman" w:cs="Times New Roman"/>
          <w:color w:val="000000"/>
          <w:sz w:val="24"/>
          <w:szCs w:val="24"/>
          <w:lang w:eastAsia="ru-RU"/>
        </w:rPr>
        <w:t>,жылы» форматында көрсетіледі;</w:t>
      </w:r>
    </w:p>
    <w:p w14:paraId="11873DA1"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18) «Құн (келісімшарт (шарт) валютасында)» деген 18-бағанда келісімшарт (шарт) валютасында құны көрсетіледі;</w:t>
      </w:r>
    </w:p>
    <w:p w14:paraId="0C541266"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19) «Мәміле (өткізу) бағасы (келісімшарт (шарт) валютасында)» деген 19-бағанда мәміленің келісімшарт (шарт) валютасында үтірден кейін 3 (үш) белгіге дейін дөңгелектелген бағасы көрсетіледі;</w:t>
      </w:r>
    </w:p>
    <w:p w14:paraId="10527C6B"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20) «Келісімшарт (шарт) валютасы» деген 20-бағанда келісімшарт (шарт) бойынша орындалған жұмысқа және (немесе) көрсетілген қызметке төлем жүзеге асырылған валюта көрсетіледі;</w:t>
      </w:r>
    </w:p>
    <w:p w14:paraId="477BD289"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21) «Жұмысты орындау/қызмет көрсету күніне теңге бағамы» деген 21-бағанда жұмысты орындау және (немесе) қызмет көрсету күніне келісімшарт (шарт) валютасына теңгенің ресми бағамы көрсетіледі;</w:t>
      </w:r>
    </w:p>
    <w:p w14:paraId="7448BE6A"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22) «Баға белгілеу әдістемесі (формуласы)» деген 22-бағанда орындалған жұмыс және (немесе) көрсетілген қызмет бойынша баға белгілеу формуласы және келісімшарттың (шарттың) ережелеріне сәйкес формуланың ашып жазылуы көрсетіледі;</w:t>
      </w:r>
    </w:p>
    <w:p w14:paraId="25BDD0E3"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23) «Нарықтық бағаны айқындау үшін қолданылатын әдіс» деген 23-бағанда Қазақстан Республикасының «Трансферттік баға белгілеу туралы» Заңының 12-бабымен айқындалған және нарықтық бағаны айқындау үшін мәмілеге қатысушы қолданатын әдістердің бірі көрсетіледі;</w:t>
      </w:r>
    </w:p>
    <w:p w14:paraId="7E0348FC"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24) «Ақпарат көзінің атауы» деген 24-бағанда орындалған жұмыстың немесе және (немесе) көрсетілген қызметтің нарықтық бағасын айқындау үшін қолданылатын ақпарат көзі көрсетіледі;</w:t>
      </w:r>
    </w:p>
    <w:p w14:paraId="5F13F869"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25) «Салыстырымды экономикалық шарттарға келтіретін факторлар» деген 25-бағанда салыстырымды экономикалық шарттарға келтіретін факторлар көрсетілген өлшем бірлігі көрсетіледі;</w:t>
      </w:r>
    </w:p>
    <w:p w14:paraId="1C2DC091"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26) «Салыстырымды экономикалық шарттарға келтіретін факторлар» деген 25.1-бағанда салыстырымды экономикалық шарттарға келтіретін факторлар мөлшерінің жалпы сомасы көрсетілген өлшем бірлігімен көрсетіледі;</w:t>
      </w:r>
    </w:p>
    <w:p w14:paraId="22414E26"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27) «Салыстырымды экономикалық шарттарға келтіретін факторлар» деген 25.2-бағанда құжатпен және (немесе) ақпарат көздерімен расталған маржа мөлшері көрсетіледі;</w:t>
      </w:r>
    </w:p>
    <w:p w14:paraId="3E5FC89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28) «Салыстырымды экономикалық шарттарға келтіретін факторлар» деген 25.3-бағанда іс-жүзінде жұмсалған шығыстардың басқа да мөлшері ашып жазумен көрсетіледі;</w:t>
      </w:r>
    </w:p>
    <w:p w14:paraId="7BA033CE"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29) «Рентабельділік көрсеткіші» деген 26-бағанда қолданылатын рентабельділік көрсеткішінің түрі көрсетіледі (мысалы, сатудың операциялық рентабельділігі немесе сатудың жалпы рентабельділігі);</w:t>
      </w:r>
    </w:p>
    <w:p w14:paraId="4BF060F1"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30) «Ақпарат көзінен алынған баға немесе рентабельділік» деген 27-бағанда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 немесе рентабельділік, не баға немесе рентабельділік ауқымы көрсетіледі;</w:t>
      </w:r>
    </w:p>
    <w:p w14:paraId="5FC3E82C" w14:textId="77777777" w:rsidR="00F63C56" w:rsidRPr="00F63C56" w:rsidRDefault="00F63C56" w:rsidP="00F63C5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63C56">
        <w:rPr>
          <w:rFonts w:ascii="Times New Roman" w:eastAsia="Times New Roman" w:hAnsi="Times New Roman" w:cs="Times New Roman"/>
          <w:color w:val="000000"/>
          <w:sz w:val="24"/>
          <w:szCs w:val="24"/>
          <w:lang w:eastAsia="ru-RU"/>
        </w:rPr>
        <w:t xml:space="preserve">31) «Ақпарат көзінен алынған бағаны немесе рентабельділікті өлшеу бірлігі» деген 28-бағанда ресми танылған ақпарат көзінен немесе биржалық баға белгіленімдері туралы </w:t>
      </w:r>
      <w:r w:rsidRPr="00F63C56">
        <w:rPr>
          <w:rFonts w:ascii="Times New Roman" w:eastAsia="Times New Roman" w:hAnsi="Times New Roman" w:cs="Times New Roman"/>
          <w:color w:val="000000"/>
          <w:sz w:val="24"/>
          <w:szCs w:val="24"/>
          <w:lang w:eastAsia="ru-RU"/>
        </w:rPr>
        <w:lastRenderedPageBreak/>
        <w:t>деректерден немесе мемлекеттік органдардан немесе басқа ақпарат көздерінен алынған, үтірден кейін 3 (үш) белгіге дейін дөңгелектелген бағаны немесе рентабельділікті өлшеу бірлігі көрсетіледі (мысалы, USD немесе %).</w:t>
      </w:r>
    </w:p>
    <w:p w14:paraId="42FD76E6" w14:textId="77777777" w:rsidR="00A473A4" w:rsidRPr="00F63C56" w:rsidRDefault="00A473A4" w:rsidP="00F63C56">
      <w:pPr>
        <w:jc w:val="both"/>
        <w:rPr>
          <w:sz w:val="24"/>
          <w:szCs w:val="24"/>
        </w:rPr>
      </w:pPr>
    </w:p>
    <w:sectPr w:rsidR="00A473A4" w:rsidRPr="00F63C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346"/>
    <w:rsid w:val="00A473A4"/>
    <w:rsid w:val="00C74346"/>
    <w:rsid w:val="00F63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EC27C"/>
  <w15:chartTrackingRefBased/>
  <w15:docId w15:val="{703F16B6-6995-4131-A9FE-2F433073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8196">
      <w:bodyDiv w:val="1"/>
      <w:marLeft w:val="0"/>
      <w:marRight w:val="0"/>
      <w:marTop w:val="0"/>
      <w:marBottom w:val="0"/>
      <w:divBdr>
        <w:top w:val="none" w:sz="0" w:space="0" w:color="auto"/>
        <w:left w:val="none" w:sz="0" w:space="0" w:color="auto"/>
        <w:bottom w:val="none" w:sz="0" w:space="0" w:color="auto"/>
        <w:right w:val="none" w:sz="0" w:space="0" w:color="auto"/>
      </w:divBdr>
      <w:divsChild>
        <w:div w:id="980236810">
          <w:marLeft w:val="0"/>
          <w:marRight w:val="0"/>
          <w:marTop w:val="0"/>
          <w:marBottom w:val="0"/>
          <w:divBdr>
            <w:top w:val="none" w:sz="0" w:space="0" w:color="auto"/>
            <w:left w:val="none" w:sz="0" w:space="0" w:color="auto"/>
            <w:bottom w:val="none" w:sz="0" w:space="0" w:color="auto"/>
            <w:right w:val="none" w:sz="0" w:space="0" w:color="auto"/>
          </w:divBdr>
        </w:div>
        <w:div w:id="636375174">
          <w:marLeft w:val="0"/>
          <w:marRight w:val="0"/>
          <w:marTop w:val="0"/>
          <w:marBottom w:val="0"/>
          <w:divBdr>
            <w:top w:val="none" w:sz="0" w:space="0" w:color="auto"/>
            <w:left w:val="none" w:sz="0" w:space="0" w:color="auto"/>
            <w:bottom w:val="none" w:sz="0" w:space="0" w:color="auto"/>
            <w:right w:val="none" w:sz="0" w:space="0" w:color="auto"/>
          </w:divBdr>
        </w:div>
        <w:div w:id="1190487755">
          <w:marLeft w:val="0"/>
          <w:marRight w:val="0"/>
          <w:marTop w:val="0"/>
          <w:marBottom w:val="0"/>
          <w:divBdr>
            <w:top w:val="none" w:sz="0" w:space="0" w:color="auto"/>
            <w:left w:val="none" w:sz="0" w:space="0" w:color="auto"/>
            <w:bottom w:val="none" w:sz="0" w:space="0" w:color="auto"/>
            <w:right w:val="none" w:sz="0" w:space="0" w:color="auto"/>
          </w:divBdr>
        </w:div>
        <w:div w:id="367339966">
          <w:marLeft w:val="0"/>
          <w:marRight w:val="0"/>
          <w:marTop w:val="0"/>
          <w:marBottom w:val="0"/>
          <w:divBdr>
            <w:top w:val="none" w:sz="0" w:space="0" w:color="auto"/>
            <w:left w:val="none" w:sz="0" w:space="0" w:color="auto"/>
            <w:bottom w:val="none" w:sz="0" w:space="0" w:color="auto"/>
            <w:right w:val="none" w:sz="0" w:space="0" w:color="auto"/>
          </w:divBdr>
        </w:div>
        <w:div w:id="1597445909">
          <w:marLeft w:val="0"/>
          <w:marRight w:val="0"/>
          <w:marTop w:val="0"/>
          <w:marBottom w:val="0"/>
          <w:divBdr>
            <w:top w:val="none" w:sz="0" w:space="0" w:color="auto"/>
            <w:left w:val="none" w:sz="0" w:space="0" w:color="auto"/>
            <w:bottom w:val="none" w:sz="0" w:space="0" w:color="auto"/>
            <w:right w:val="none" w:sz="0" w:space="0" w:color="auto"/>
          </w:divBdr>
        </w:div>
        <w:div w:id="332532833">
          <w:marLeft w:val="0"/>
          <w:marRight w:val="0"/>
          <w:marTop w:val="0"/>
          <w:marBottom w:val="240"/>
          <w:divBdr>
            <w:top w:val="none" w:sz="0" w:space="0" w:color="auto"/>
            <w:left w:val="none" w:sz="0" w:space="0" w:color="auto"/>
            <w:bottom w:val="none" w:sz="0" w:space="0" w:color="auto"/>
            <w:right w:val="none" w:sz="0" w:space="0" w:color="auto"/>
          </w:divBdr>
        </w:div>
        <w:div w:id="7366398">
          <w:marLeft w:val="0"/>
          <w:marRight w:val="0"/>
          <w:marTop w:val="0"/>
          <w:marBottom w:val="240"/>
          <w:divBdr>
            <w:top w:val="none" w:sz="0" w:space="0" w:color="auto"/>
            <w:left w:val="none" w:sz="0" w:space="0" w:color="auto"/>
            <w:bottom w:val="none" w:sz="0" w:space="0" w:color="auto"/>
            <w:right w:val="none" w:sz="0" w:space="0" w:color="auto"/>
          </w:divBdr>
        </w:div>
        <w:div w:id="1044519081">
          <w:marLeft w:val="0"/>
          <w:marRight w:val="0"/>
          <w:marTop w:val="0"/>
          <w:marBottom w:val="0"/>
          <w:divBdr>
            <w:top w:val="none" w:sz="0" w:space="0" w:color="auto"/>
            <w:left w:val="none" w:sz="0" w:space="0" w:color="auto"/>
            <w:bottom w:val="none" w:sz="0" w:space="0" w:color="auto"/>
            <w:right w:val="none" w:sz="0" w:space="0" w:color="auto"/>
          </w:divBdr>
        </w:div>
        <w:div w:id="543519276">
          <w:marLeft w:val="0"/>
          <w:marRight w:val="0"/>
          <w:marTop w:val="0"/>
          <w:marBottom w:val="0"/>
          <w:divBdr>
            <w:top w:val="none" w:sz="0" w:space="0" w:color="auto"/>
            <w:left w:val="none" w:sz="0" w:space="0" w:color="auto"/>
            <w:bottom w:val="none" w:sz="0" w:space="0" w:color="auto"/>
            <w:right w:val="none" w:sz="0" w:space="0" w:color="auto"/>
          </w:divBdr>
        </w:div>
        <w:div w:id="735132577">
          <w:marLeft w:val="0"/>
          <w:marRight w:val="0"/>
          <w:marTop w:val="0"/>
          <w:marBottom w:val="0"/>
          <w:divBdr>
            <w:top w:val="none" w:sz="0" w:space="0" w:color="auto"/>
            <w:left w:val="none" w:sz="0" w:space="0" w:color="auto"/>
            <w:bottom w:val="none" w:sz="0" w:space="0" w:color="auto"/>
            <w:right w:val="none" w:sz="0" w:space="0" w:color="auto"/>
          </w:divBdr>
        </w:div>
        <w:div w:id="827983582">
          <w:marLeft w:val="0"/>
          <w:marRight w:val="0"/>
          <w:marTop w:val="0"/>
          <w:marBottom w:val="0"/>
          <w:divBdr>
            <w:top w:val="none" w:sz="0" w:space="0" w:color="auto"/>
            <w:left w:val="none" w:sz="0" w:space="0" w:color="auto"/>
            <w:bottom w:val="none" w:sz="0" w:space="0" w:color="auto"/>
            <w:right w:val="none" w:sz="0" w:space="0" w:color="auto"/>
          </w:divBdr>
        </w:div>
        <w:div w:id="2098554061">
          <w:marLeft w:val="0"/>
          <w:marRight w:val="0"/>
          <w:marTop w:val="0"/>
          <w:marBottom w:val="0"/>
          <w:divBdr>
            <w:top w:val="none" w:sz="0" w:space="0" w:color="auto"/>
            <w:left w:val="none" w:sz="0" w:space="0" w:color="auto"/>
            <w:bottom w:val="none" w:sz="0" w:space="0" w:color="auto"/>
            <w:right w:val="none" w:sz="0" w:space="0" w:color="auto"/>
          </w:divBdr>
        </w:div>
        <w:div w:id="1121264818">
          <w:marLeft w:val="0"/>
          <w:marRight w:val="0"/>
          <w:marTop w:val="0"/>
          <w:marBottom w:val="0"/>
          <w:divBdr>
            <w:top w:val="none" w:sz="0" w:space="0" w:color="auto"/>
            <w:left w:val="none" w:sz="0" w:space="0" w:color="auto"/>
            <w:bottom w:val="none" w:sz="0" w:space="0" w:color="auto"/>
            <w:right w:val="none" w:sz="0" w:space="0" w:color="auto"/>
          </w:divBdr>
        </w:div>
        <w:div w:id="1247805846">
          <w:marLeft w:val="0"/>
          <w:marRight w:val="0"/>
          <w:marTop w:val="0"/>
          <w:marBottom w:val="0"/>
          <w:divBdr>
            <w:top w:val="none" w:sz="0" w:space="0" w:color="auto"/>
            <w:left w:val="none" w:sz="0" w:space="0" w:color="auto"/>
            <w:bottom w:val="none" w:sz="0" w:space="0" w:color="auto"/>
            <w:right w:val="none" w:sz="0" w:space="0" w:color="auto"/>
          </w:divBdr>
        </w:div>
        <w:div w:id="1626765841">
          <w:marLeft w:val="0"/>
          <w:marRight w:val="0"/>
          <w:marTop w:val="0"/>
          <w:marBottom w:val="0"/>
          <w:divBdr>
            <w:top w:val="none" w:sz="0" w:space="0" w:color="auto"/>
            <w:left w:val="none" w:sz="0" w:space="0" w:color="auto"/>
            <w:bottom w:val="none" w:sz="0" w:space="0" w:color="auto"/>
            <w:right w:val="none" w:sz="0" w:space="0" w:color="auto"/>
          </w:divBdr>
        </w:div>
        <w:div w:id="81920425">
          <w:marLeft w:val="0"/>
          <w:marRight w:val="0"/>
          <w:marTop w:val="0"/>
          <w:marBottom w:val="0"/>
          <w:divBdr>
            <w:top w:val="none" w:sz="0" w:space="0" w:color="auto"/>
            <w:left w:val="none" w:sz="0" w:space="0" w:color="auto"/>
            <w:bottom w:val="none" w:sz="0" w:space="0" w:color="auto"/>
            <w:right w:val="none" w:sz="0" w:space="0" w:color="auto"/>
          </w:divBdr>
        </w:div>
        <w:div w:id="909078039">
          <w:marLeft w:val="0"/>
          <w:marRight w:val="0"/>
          <w:marTop w:val="0"/>
          <w:marBottom w:val="0"/>
          <w:divBdr>
            <w:top w:val="none" w:sz="0" w:space="0" w:color="auto"/>
            <w:left w:val="none" w:sz="0" w:space="0" w:color="auto"/>
            <w:bottom w:val="none" w:sz="0" w:space="0" w:color="auto"/>
            <w:right w:val="none" w:sz="0" w:space="0" w:color="auto"/>
          </w:divBdr>
        </w:div>
        <w:div w:id="20085648">
          <w:marLeft w:val="0"/>
          <w:marRight w:val="0"/>
          <w:marTop w:val="0"/>
          <w:marBottom w:val="0"/>
          <w:divBdr>
            <w:top w:val="none" w:sz="0" w:space="0" w:color="auto"/>
            <w:left w:val="none" w:sz="0" w:space="0" w:color="auto"/>
            <w:bottom w:val="none" w:sz="0" w:space="0" w:color="auto"/>
            <w:right w:val="none" w:sz="0" w:space="0" w:color="auto"/>
          </w:divBdr>
        </w:div>
        <w:div w:id="1927958922">
          <w:marLeft w:val="0"/>
          <w:marRight w:val="0"/>
          <w:marTop w:val="0"/>
          <w:marBottom w:val="0"/>
          <w:divBdr>
            <w:top w:val="none" w:sz="0" w:space="0" w:color="auto"/>
            <w:left w:val="none" w:sz="0" w:space="0" w:color="auto"/>
            <w:bottom w:val="none" w:sz="0" w:space="0" w:color="auto"/>
            <w:right w:val="none" w:sz="0" w:space="0" w:color="auto"/>
          </w:divBdr>
        </w:div>
        <w:div w:id="841748326">
          <w:marLeft w:val="0"/>
          <w:marRight w:val="0"/>
          <w:marTop w:val="0"/>
          <w:marBottom w:val="0"/>
          <w:divBdr>
            <w:top w:val="none" w:sz="0" w:space="0" w:color="auto"/>
            <w:left w:val="none" w:sz="0" w:space="0" w:color="auto"/>
            <w:bottom w:val="none" w:sz="0" w:space="0" w:color="auto"/>
            <w:right w:val="none" w:sz="0" w:space="0" w:color="auto"/>
          </w:divBdr>
        </w:div>
        <w:div w:id="1264535251">
          <w:marLeft w:val="0"/>
          <w:marRight w:val="0"/>
          <w:marTop w:val="0"/>
          <w:marBottom w:val="0"/>
          <w:divBdr>
            <w:top w:val="none" w:sz="0" w:space="0" w:color="auto"/>
            <w:left w:val="none" w:sz="0" w:space="0" w:color="auto"/>
            <w:bottom w:val="none" w:sz="0" w:space="0" w:color="auto"/>
            <w:right w:val="none" w:sz="0" w:space="0" w:color="auto"/>
          </w:divBdr>
        </w:div>
        <w:div w:id="557664740">
          <w:marLeft w:val="0"/>
          <w:marRight w:val="0"/>
          <w:marTop w:val="0"/>
          <w:marBottom w:val="0"/>
          <w:divBdr>
            <w:top w:val="none" w:sz="0" w:space="0" w:color="auto"/>
            <w:left w:val="none" w:sz="0" w:space="0" w:color="auto"/>
            <w:bottom w:val="none" w:sz="0" w:space="0" w:color="auto"/>
            <w:right w:val="none" w:sz="0" w:space="0" w:color="auto"/>
          </w:divBdr>
        </w:div>
        <w:div w:id="1107971149">
          <w:marLeft w:val="0"/>
          <w:marRight w:val="0"/>
          <w:marTop w:val="0"/>
          <w:marBottom w:val="0"/>
          <w:divBdr>
            <w:top w:val="none" w:sz="0" w:space="0" w:color="auto"/>
            <w:left w:val="none" w:sz="0" w:space="0" w:color="auto"/>
            <w:bottom w:val="none" w:sz="0" w:space="0" w:color="auto"/>
            <w:right w:val="none" w:sz="0" w:space="0" w:color="auto"/>
          </w:divBdr>
        </w:div>
        <w:div w:id="1115297033">
          <w:marLeft w:val="0"/>
          <w:marRight w:val="0"/>
          <w:marTop w:val="0"/>
          <w:marBottom w:val="0"/>
          <w:divBdr>
            <w:top w:val="none" w:sz="0" w:space="0" w:color="auto"/>
            <w:left w:val="none" w:sz="0" w:space="0" w:color="auto"/>
            <w:bottom w:val="none" w:sz="0" w:space="0" w:color="auto"/>
            <w:right w:val="none" w:sz="0" w:space="0" w:color="auto"/>
          </w:divBdr>
        </w:div>
        <w:div w:id="221410690">
          <w:marLeft w:val="0"/>
          <w:marRight w:val="0"/>
          <w:marTop w:val="0"/>
          <w:marBottom w:val="0"/>
          <w:divBdr>
            <w:top w:val="none" w:sz="0" w:space="0" w:color="auto"/>
            <w:left w:val="none" w:sz="0" w:space="0" w:color="auto"/>
            <w:bottom w:val="none" w:sz="0" w:space="0" w:color="auto"/>
            <w:right w:val="none" w:sz="0" w:space="0" w:color="auto"/>
          </w:divBdr>
        </w:div>
        <w:div w:id="773525601">
          <w:marLeft w:val="0"/>
          <w:marRight w:val="0"/>
          <w:marTop w:val="0"/>
          <w:marBottom w:val="0"/>
          <w:divBdr>
            <w:top w:val="none" w:sz="0" w:space="0" w:color="auto"/>
            <w:left w:val="none" w:sz="0" w:space="0" w:color="auto"/>
            <w:bottom w:val="none" w:sz="0" w:space="0" w:color="auto"/>
            <w:right w:val="none" w:sz="0" w:space="0" w:color="auto"/>
          </w:divBdr>
        </w:div>
        <w:div w:id="1840657397">
          <w:marLeft w:val="0"/>
          <w:marRight w:val="0"/>
          <w:marTop w:val="0"/>
          <w:marBottom w:val="0"/>
          <w:divBdr>
            <w:top w:val="none" w:sz="0" w:space="0" w:color="auto"/>
            <w:left w:val="none" w:sz="0" w:space="0" w:color="auto"/>
            <w:bottom w:val="none" w:sz="0" w:space="0" w:color="auto"/>
            <w:right w:val="none" w:sz="0" w:space="0" w:color="auto"/>
          </w:divBdr>
        </w:div>
        <w:div w:id="1470896960">
          <w:marLeft w:val="0"/>
          <w:marRight w:val="0"/>
          <w:marTop w:val="0"/>
          <w:marBottom w:val="0"/>
          <w:divBdr>
            <w:top w:val="none" w:sz="0" w:space="0" w:color="auto"/>
            <w:left w:val="none" w:sz="0" w:space="0" w:color="auto"/>
            <w:bottom w:val="none" w:sz="0" w:space="0" w:color="auto"/>
            <w:right w:val="none" w:sz="0" w:space="0" w:color="auto"/>
          </w:divBdr>
        </w:div>
        <w:div w:id="1675912584">
          <w:marLeft w:val="0"/>
          <w:marRight w:val="0"/>
          <w:marTop w:val="0"/>
          <w:marBottom w:val="0"/>
          <w:divBdr>
            <w:top w:val="none" w:sz="0" w:space="0" w:color="auto"/>
            <w:left w:val="none" w:sz="0" w:space="0" w:color="auto"/>
            <w:bottom w:val="none" w:sz="0" w:space="0" w:color="auto"/>
            <w:right w:val="none" w:sz="0" w:space="0" w:color="auto"/>
          </w:divBdr>
        </w:div>
        <w:div w:id="1118253766">
          <w:marLeft w:val="0"/>
          <w:marRight w:val="0"/>
          <w:marTop w:val="0"/>
          <w:marBottom w:val="0"/>
          <w:divBdr>
            <w:top w:val="none" w:sz="0" w:space="0" w:color="auto"/>
            <w:left w:val="none" w:sz="0" w:space="0" w:color="auto"/>
            <w:bottom w:val="none" w:sz="0" w:space="0" w:color="auto"/>
            <w:right w:val="none" w:sz="0" w:space="0" w:color="auto"/>
          </w:divBdr>
        </w:div>
        <w:div w:id="1782873185">
          <w:marLeft w:val="0"/>
          <w:marRight w:val="0"/>
          <w:marTop w:val="0"/>
          <w:marBottom w:val="0"/>
          <w:divBdr>
            <w:top w:val="none" w:sz="0" w:space="0" w:color="auto"/>
            <w:left w:val="none" w:sz="0" w:space="0" w:color="auto"/>
            <w:bottom w:val="none" w:sz="0" w:space="0" w:color="auto"/>
            <w:right w:val="none" w:sz="0" w:space="0" w:color="auto"/>
          </w:divBdr>
        </w:div>
        <w:div w:id="1293512302">
          <w:marLeft w:val="0"/>
          <w:marRight w:val="0"/>
          <w:marTop w:val="0"/>
          <w:marBottom w:val="0"/>
          <w:divBdr>
            <w:top w:val="none" w:sz="0" w:space="0" w:color="auto"/>
            <w:left w:val="none" w:sz="0" w:space="0" w:color="auto"/>
            <w:bottom w:val="none" w:sz="0" w:space="0" w:color="auto"/>
            <w:right w:val="none" w:sz="0" w:space="0" w:color="auto"/>
          </w:divBdr>
        </w:div>
        <w:div w:id="327442349">
          <w:marLeft w:val="0"/>
          <w:marRight w:val="0"/>
          <w:marTop w:val="0"/>
          <w:marBottom w:val="0"/>
          <w:divBdr>
            <w:top w:val="none" w:sz="0" w:space="0" w:color="auto"/>
            <w:left w:val="none" w:sz="0" w:space="0" w:color="auto"/>
            <w:bottom w:val="none" w:sz="0" w:space="0" w:color="auto"/>
            <w:right w:val="none" w:sz="0" w:space="0" w:color="auto"/>
          </w:divBdr>
        </w:div>
        <w:div w:id="170728187">
          <w:marLeft w:val="0"/>
          <w:marRight w:val="0"/>
          <w:marTop w:val="0"/>
          <w:marBottom w:val="0"/>
          <w:divBdr>
            <w:top w:val="none" w:sz="0" w:space="0" w:color="auto"/>
            <w:left w:val="none" w:sz="0" w:space="0" w:color="auto"/>
            <w:bottom w:val="none" w:sz="0" w:space="0" w:color="auto"/>
            <w:right w:val="none" w:sz="0" w:space="0" w:color="auto"/>
          </w:divBdr>
        </w:div>
        <w:div w:id="789738173">
          <w:marLeft w:val="0"/>
          <w:marRight w:val="0"/>
          <w:marTop w:val="0"/>
          <w:marBottom w:val="0"/>
          <w:divBdr>
            <w:top w:val="none" w:sz="0" w:space="0" w:color="auto"/>
            <w:left w:val="none" w:sz="0" w:space="0" w:color="auto"/>
            <w:bottom w:val="none" w:sz="0" w:space="0" w:color="auto"/>
            <w:right w:val="none" w:sz="0" w:space="0" w:color="auto"/>
          </w:divBdr>
        </w:div>
        <w:div w:id="1721903151">
          <w:marLeft w:val="0"/>
          <w:marRight w:val="0"/>
          <w:marTop w:val="0"/>
          <w:marBottom w:val="0"/>
          <w:divBdr>
            <w:top w:val="none" w:sz="0" w:space="0" w:color="auto"/>
            <w:left w:val="none" w:sz="0" w:space="0" w:color="auto"/>
            <w:bottom w:val="none" w:sz="0" w:space="0" w:color="auto"/>
            <w:right w:val="none" w:sz="0" w:space="0" w:color="auto"/>
          </w:divBdr>
        </w:div>
        <w:div w:id="712192330">
          <w:marLeft w:val="0"/>
          <w:marRight w:val="0"/>
          <w:marTop w:val="0"/>
          <w:marBottom w:val="0"/>
          <w:divBdr>
            <w:top w:val="none" w:sz="0" w:space="0" w:color="auto"/>
            <w:left w:val="none" w:sz="0" w:space="0" w:color="auto"/>
            <w:bottom w:val="none" w:sz="0" w:space="0" w:color="auto"/>
            <w:right w:val="none" w:sz="0" w:space="0" w:color="auto"/>
          </w:divBdr>
        </w:div>
        <w:div w:id="174464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5341</Characters>
  <Application>Microsoft Office Word</Application>
  <DocSecurity>0</DocSecurity>
  <Lines>44</Lines>
  <Paragraphs>12</Paragraphs>
  <ScaleCrop>false</ScaleCrop>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2025-12-24T06:51:00Z</dcterms:created>
  <dcterms:modified xsi:type="dcterms:W3CDTF">2025-12-24T06:52:00Z</dcterms:modified>
</cp:coreProperties>
</file>